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1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414"/>
        <w:gridCol w:w="2215"/>
        <w:gridCol w:w="1920"/>
        <w:gridCol w:w="706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年级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满足的条件</w:t>
            </w:r>
          </w:p>
        </w:tc>
        <w:tc>
          <w:tcPr>
            <w:tcW w:w="221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基础分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学习成绩分数（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平均成绩，乘以0.3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【毕业年级学习成绩记0分】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 科研加分项目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  <w:t>总分（核对后）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博士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冯孔龙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（1）30分（SCI 一区，Immobilization of Aspergillus niger lipase onto a novel macroporous acrylic resin: Stable and recyclable biocatalysis for deacidification of high-acid soy sauce residue oil[J]. Bioresource Technology, 202002）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（2）30分（SCI 一区，Hepatic Lipidomics Analysis Reveals the Antiobesity and Cholesterol-Lowering Effects of Tangeretin in High-Fat Diet-Fed Rats. Journal of Agricultural and Food Chemistry. 202006）                                                                                                                                                                                                              （3）30分（SCI 一区，Dietary citrus peel essential oil ameliorates hypercholesterolemia and hepatic steatosis by modulating lipid and cholesterol homeostasis. Food &amp; Function，202008)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关甜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9"/>
                <w:lang w:val="en-US" w:eastAsia="zh-CN" w:bidi="ar"/>
              </w:rPr>
              <w:t>（1） 30分（Open Surface Droplet Microfluidic Magnetosensor for Microcystin-LR Monitoring in Reservoir. Analytical Chemistry. 2020, 92, 3409–3412. (一区, Top, IF 6.785)）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（</w:t>
            </w:r>
            <w:r>
              <w:rPr>
                <w:rStyle w:val="10"/>
                <w:lang w:val="en-US" w:eastAsia="zh-CN" w:bidi="ar"/>
              </w:rPr>
              <w:t>2） 24分（Magnet-actuated droplet micro</w:t>
            </w:r>
            <w:r>
              <w:rPr>
                <w:rStyle w:val="11"/>
                <w:lang w:val="en-US" w:eastAsia="zh-CN" w:bidi="ar"/>
              </w:rPr>
              <w:t>ﬂ</w:t>
            </w:r>
            <w:r>
              <w:rPr>
                <w:rStyle w:val="10"/>
                <w:lang w:val="en-US" w:eastAsia="zh-CN" w:bidi="ar"/>
              </w:rPr>
              <w:t>uidic immunosensor coupled with gel imager for detection of microcystin-LR in aquatic products. Talanta 2020, 219, 121329. (二区，IF 5.339)）</w:t>
            </w:r>
            <w:r>
              <w:rPr>
                <w:rStyle w:val="10"/>
                <w:rFonts w:hint="eastAsia"/>
                <w:lang w:val="en-US" w:eastAsia="zh-CN" w:bidi="ar"/>
              </w:rPr>
              <w:t xml:space="preserve">  文章未被SCI收录，24分改为0分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（3） 6分（一种检测微囊藻毒素的生物传感器.实用新型，专利号：ZL 2019 2 0716443.9）</w:t>
            </w:r>
            <w:r>
              <w:rPr>
                <w:rStyle w:val="9"/>
                <w:lang w:val="en-US" w:eastAsia="zh-CN" w:bidi="ar"/>
              </w:rPr>
              <w:br w:type="textWrapping"/>
            </w:r>
            <w:r>
              <w:rPr>
                <w:rStyle w:val="9"/>
                <w:lang w:val="en-US" w:eastAsia="zh-CN" w:bidi="ar"/>
              </w:rPr>
              <w:t>（</w:t>
            </w:r>
            <w:r>
              <w:rPr>
                <w:rStyle w:val="10"/>
                <w:lang w:val="en-US" w:eastAsia="zh-CN" w:bidi="ar"/>
              </w:rPr>
              <w:t>4）  4分（一种检测微囊藻毒素的生物传感器及方法.发明公开，专利号：CN201910412766.3）</w:t>
            </w:r>
            <w:r>
              <w:rPr>
                <w:rStyle w:val="10"/>
                <w:rFonts w:hint="eastAsia"/>
                <w:lang w:val="en-US" w:eastAsia="zh-CN" w:bidi="ar"/>
              </w:rPr>
              <w:t xml:space="preserve"> 专利公开日期为2019.8.30，不属于评奖年度时间，4分改为0分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18级硕士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陈炎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1、2</w:t>
            </w:r>
          </w:p>
        </w:tc>
        <w:tc>
          <w:tcPr>
            <w:tcW w:w="221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（1）24分（SCI二区，Effects of mango peel powder on starch digestion and quality characteristics of bread《International Journal of Biological Macromolecules》，）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（2）0.1分 （参与2019年丁颖杯大赛）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郭美霞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（1） 30分（SCI 一区，2-Methoxy-1,4-naphthoquinone Induces Metabolic Shifts in Penicillium Digitatum Revealed by High Dimensional Biological Data，</w:t>
            </w:r>
            <w:r>
              <w:rPr>
                <w:rFonts w:hint="eastAsia" w:ascii="等线" w:hAnsi="等线" w:eastAsia="等线" w:cs="等线"/>
                <w:i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JOURNAL OF AGRICULTURAL AND FOOD CHEMISTRY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，2020.8.17） </w:t>
            </w:r>
            <w:r>
              <w:rPr>
                <w:rStyle w:val="10"/>
                <w:rFonts w:hint="eastAsia"/>
                <w:lang w:val="en-US" w:eastAsia="zh-CN" w:bidi="ar"/>
              </w:rPr>
              <w:t>文章未被SCI收录，30分改为0分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李翠芬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2、3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7分（北大核心、中华绿廊抗氧化肽的提取及其抗氧化性《食品工业》，2019年10月） 非25%核心期刊，7分改为5分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（2）3分（一般期刊、蔬菜产业园的质量安全现状及政策分析——以广东省为例《农业科技管理》2020年）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（3）</w:t>
            </w:r>
            <w:r>
              <w:rPr>
                <w:rFonts w:hint="eastAsia" w:ascii="等线" w:hAnsi="等线" w:eastAsia="等线" w:cs="等线"/>
                <w:b w:val="0"/>
                <w:bCs w:val="0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2分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（参与编书《水产养殖管理关键技术问答》、《农作物生产管理关键技术问答》）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（4）2分（全国大学生创新方法应用大赛省一等奖）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王蕊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18分（SCI 3区，A spherical TiO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-Bi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WO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composite photocatalyst for visible-light photocatalytic degradation of ethylene，2020.6.11）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（2） 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12分（SCI 四区，Effects of Hydrothermal Reaction Conditions on the Structure and Properties of Porous Spherical Bi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WO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Photocatalyst，2020.5.14），文章未被SCI收录，但该期刊属于EI、北大中文核心，12分改为9分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谢家文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（1）24分（SCI 二区，Novel visible light-responsive GO-Bi2WO6/starch composite membrane for efficient degradation of ethylene，（Carbohydrate Polymers）2020.）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姚康飞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 30分 SCI一区（Improvement of carotenoid bioaccessibility from spinach by co-ingesting with excipient nanoemulsions: impact of the oil phase composition,《Food 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&amp;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Function 》，2019.9.01）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张小英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（1）30分（SCI 一区，Mechanism of Pentagalloyl Glucose in Alleviating Fat Accumulation in Caenorhabditis elegans. Journal of Agricutural and Food Chemistry, 2019, 67(51), 14110-14120.          （2）0.1分 （参加2019年丁颖杯发明创意大赛）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黄诗诗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（1）12分（SCI 四区，Development of an Effective Two-Step Enrichment Process to Enhance Bax System Detection of Healthy and Injured Salmonella Enteritidis in Liquid Whole Egg and Egg Yolk，2020.2.12）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 0.1分（参加第十届食品学院文献综述大赛）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32.1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卜玲玲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（1）24分（SCI 二区，Negative Mood Is Associated with Diet and Dietary Antioxidants in University Students During the Menstrual Cycle: A Cross-Sectional Study from Guangzhou, China，2020.1）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（2）7分（一级核心，DEHP 经 sirt1/pgc-1α通路诱导的 HepG2 细胞线粒体损伤效应 ，《中国环境科学》，2020.8） 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蔡济洋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（1）24分（SCI二区， Essential oil loaded edible films prepared by continuous casting method:Effects of casting cycle and loading position on the release properties，2020.8） 文章未被SCI收录，24分改为0分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 4分 （公开发明专利：一种脂质-蛋白可食性双层活性膜及其制备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方法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赵梓军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（1）24分（SCI 二区，Modulation of interfacial phenolic antioxidant distribution in Pickering emulsions via interactions between zein nanoparticles and gallic acid，2020.6.1） 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（2）24分（SCI 二区，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Interfacial Engineering of Pickering Emulsion Co-Stabilized by Zein Nanoparticles and Tween 20: Effects of the Particle Size on the Interfacial Concentration of Gallic Acid and the Oxidative Stability ，2020.5.30）                                                                                               (3)4分，发明专利（CN111534110A. 一种醇溶蛋白-酚型抗氧化剂纳米粒子及其制备的皮克林乳液，2020.8.14）          （4）0.1分,2019-2020年度文献综述大赛参与分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72.1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苏淑芬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24分（SCI 二区，Photoelectrocatalytic inactivation of Penicillium expansum spores on a Pt decorated TiO2/activated carbon fiber photoelectrode in an all-solid-state photoelectrochemical cell《Applied Surface Science》，2020.6.15）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姚雪霜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（1） 12分 Structure Investigation of β-D-Fructose crystal under High Pressure: Raman Scattering, IR Absorption, and Synchrotron X-ray Diffraction，期刊名：&lt;Journal of Molecular structure&gt; ,2020年6月接收  文章未被SCI收录，12分改为0分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（1）24分（Microfluidic droplet formation in co-flow devices fabricated by micro 3D printing《Journal of Food Engineering》，2020.6.9） 文章未被SCI收录 24分改为0分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李瑞容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24分 《Chemical composition and deterioration mechanism of Pleurotus tuoliensis during postharvest storage》，2020.8.5） 文章未被SCI收录，24分改为0分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（第89期入党积极分子培训班督导员）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0.5分  不符合国奖评选细则，0.5分改为0分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2分（华南农业大学食品学院研究生新生班级助班）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不符合国奖评选细则，2分改为0分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（4）0.1 (第一届“百颐年杯”大学生营养代餐粉设计大赛)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（5）0.1  (参加食品学院第十届综述大赛）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吴炜俊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7分（不同组合渗透、冷冻前处理对蓝莓干燥品质的影响《食品科学技术学报》，2020.01.03） 该期刊非25%中文核心，7分改为5分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restart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18"/>
                <w:szCs w:val="18"/>
                <w:lang w:val="en-US" w:eastAsia="zh-CN"/>
              </w:rPr>
              <w:t>19级硕士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陈燕兰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27.4分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7分（不同地区铁皮石斛的品质差异研究《食品与发酵工业》，2020.2.10）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（2）院综述大赛0.1分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李润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26.66分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1）30分（SCI 一区，Anti-obesity effects of capsaicin and the underlying mechanisms: a review，2020.7.28）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文章未被SCI收录，30分改为0分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46.66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张司南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27.65分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12分（SCI 四区，Ultrahigh pressure extraction of polysaccharide from Morinda officinalis and  effect on the polysaccharide structure，《Separation Science and Technology》,2020.7）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林锦铭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26.58分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7分（一级核心，美藤果加工与综合利用研究进展《食品工业科技》，2020.8.14）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（2） 3分（一般期刊，烘干温度对铁皮石斛叶多糖抗氧化活性影响的研究 《粮食与食品工业》，2020.8.15）                                                     （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3） 5分（北大核心，美藤果壳多酚物质的提纯及其抗氧化性《食品研究与开发》，2020.4.27）</w:t>
            </w:r>
            <w:r>
              <w:rPr>
                <w:rFonts w:hint="eastAsia" w:ascii="等线" w:hAnsi="等线" w:eastAsia="等线" w:cs="等线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被该期刊录用，但未见刊，5分改为0分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56.58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陆颖芳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27.01分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24分（SCI 二区，Marine unsaturated fatty acids: structures, bioactivities, biosynthesis and benefits, 2019.11.3)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吴钰琳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27.04分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24分 （Structural features, interaction with the gut microbiota and anti-tumor activity of oligosaccharides, RSC ADVANCES, 2020.4）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18"/>
                <w:szCs w:val="18"/>
                <w:lang w:val="en-US" w:eastAsia="zh-CN"/>
              </w:rPr>
              <w:t>71.04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54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钟淳菲</w:t>
            </w:r>
          </w:p>
        </w:tc>
        <w:tc>
          <w:tcPr>
            <w:tcW w:w="4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1，2</w:t>
            </w:r>
          </w:p>
        </w:tc>
        <w:tc>
          <w:tcPr>
            <w:tcW w:w="22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班级互评：20分；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27.78分</w:t>
            </w:r>
          </w:p>
        </w:tc>
        <w:tc>
          <w:tcPr>
            <w:tcW w:w="706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（1） 7分（一级核心，不同铁皮石斛红鑫品种品质的对比研究，《食品工业科技》，2020.1.13）   （2）+0.1分 院文献综述大赛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54.88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5E1A9C"/>
    <w:multiLevelType w:val="multilevel"/>
    <w:tmpl w:val="A05E1A9C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"/>
      <w:lvlJc w:val="left"/>
      <w:pPr>
        <w:ind w:left="0" w:leftChars="0" w:firstLine="0" w:firstLineChars="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"/>
      <w:lvlJc w:val="left"/>
      <w:pPr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D018FC3C"/>
    <w:multiLevelType w:val="singleLevel"/>
    <w:tmpl w:val="D018FC3C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8327A"/>
    <w:rsid w:val="02A40C6A"/>
    <w:rsid w:val="039C57AD"/>
    <w:rsid w:val="03C64A6A"/>
    <w:rsid w:val="03D545B1"/>
    <w:rsid w:val="0BC44CFD"/>
    <w:rsid w:val="0E776748"/>
    <w:rsid w:val="127E21EE"/>
    <w:rsid w:val="153C2C75"/>
    <w:rsid w:val="1A915C72"/>
    <w:rsid w:val="1BB9742F"/>
    <w:rsid w:val="1BFD30AE"/>
    <w:rsid w:val="1EAB75EB"/>
    <w:rsid w:val="1F58327A"/>
    <w:rsid w:val="22523621"/>
    <w:rsid w:val="238B388E"/>
    <w:rsid w:val="26216514"/>
    <w:rsid w:val="2C316A7E"/>
    <w:rsid w:val="2C722138"/>
    <w:rsid w:val="2F005D18"/>
    <w:rsid w:val="302E72C1"/>
    <w:rsid w:val="3193638D"/>
    <w:rsid w:val="3C6C3C4D"/>
    <w:rsid w:val="3CF43119"/>
    <w:rsid w:val="3E282FED"/>
    <w:rsid w:val="3E5C6EE6"/>
    <w:rsid w:val="3FD1187A"/>
    <w:rsid w:val="45A7270A"/>
    <w:rsid w:val="469E0B54"/>
    <w:rsid w:val="48A64542"/>
    <w:rsid w:val="4BA70B14"/>
    <w:rsid w:val="4DC152DA"/>
    <w:rsid w:val="4DDE13EA"/>
    <w:rsid w:val="4FD04965"/>
    <w:rsid w:val="50C73615"/>
    <w:rsid w:val="52BB795C"/>
    <w:rsid w:val="562A63DE"/>
    <w:rsid w:val="56D574F5"/>
    <w:rsid w:val="5AC50C8D"/>
    <w:rsid w:val="5BF24CEA"/>
    <w:rsid w:val="61C32E4D"/>
    <w:rsid w:val="67161E6C"/>
    <w:rsid w:val="690314C8"/>
    <w:rsid w:val="6C2C0085"/>
    <w:rsid w:val="6CAC4184"/>
    <w:rsid w:val="6EDE366F"/>
    <w:rsid w:val="723F296F"/>
    <w:rsid w:val="78F4224E"/>
    <w:rsid w:val="7A7A1FE1"/>
    <w:rsid w:val="7B4F5FC3"/>
    <w:rsid w:val="7B5C6DB0"/>
    <w:rsid w:val="7BE73DD3"/>
    <w:rsid w:val="7C6320EB"/>
    <w:rsid w:val="7F5A16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numPr>
        <w:ilvl w:val="0"/>
        <w:numId w:val="1"/>
      </w:numPr>
      <w:spacing w:before="50" w:beforeLines="50" w:after="50" w:afterLines="50" w:line="360" w:lineRule="auto"/>
      <w:ind w:left="425" w:leftChars="0" w:hanging="425" w:firstLineChars="0"/>
      <w:jc w:val="left"/>
      <w:outlineLvl w:val="0"/>
    </w:pPr>
    <w:rPr>
      <w:rFonts w:cs="Times New Roman" w:asciiTheme="minorAscii" w:hAnsiTheme="minorAscii"/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ind w:left="0" w:firstLine="0"/>
      <w:jc w:val="left"/>
      <w:outlineLvl w:val="1"/>
    </w:pPr>
    <w:rPr>
      <w:rFonts w:ascii="Calibri Light" w:hAnsi="Calibri Light" w:eastAsia="宋体" w:cs="宋体"/>
      <w:bCs/>
      <w:sz w:val="21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0" w:firstLine="0"/>
      <w:jc w:val="left"/>
      <w:outlineLvl w:val="2"/>
    </w:pPr>
    <w:rPr>
      <w:rFonts w:ascii="Times New Roman" w:hAnsi="Times New Roman" w:cs="Times New Roman"/>
      <w:bCs/>
      <w:sz w:val="21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Calibri Light" w:hAnsi="Calibri Light" w:eastAsia="宋体" w:cs="宋体"/>
      <w:bCs/>
      <w:sz w:val="21"/>
      <w:szCs w:val="32"/>
    </w:rPr>
  </w:style>
  <w:style w:type="character" w:customStyle="1" w:styleId="8">
    <w:name w:val="标题 1 Char"/>
    <w:link w:val="2"/>
    <w:qFormat/>
    <w:uiPriority w:val="0"/>
    <w:rPr>
      <w:rFonts w:eastAsia="宋体" w:cs="Times New Roman" w:asciiTheme="minorAscii" w:hAnsiTheme="minorAscii"/>
      <w:b/>
      <w:bCs/>
      <w:kern w:val="44"/>
      <w:sz w:val="21"/>
      <w:szCs w:val="44"/>
    </w:rPr>
  </w:style>
  <w:style w:type="character" w:customStyle="1" w:styleId="9">
    <w:name w:val="font31"/>
    <w:basedOn w:val="6"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10">
    <w:name w:val="font21"/>
    <w:basedOn w:val="6"/>
    <w:qFormat/>
    <w:uiPriority w:val="0"/>
    <w:rPr>
      <w:rFonts w:hint="eastAsia" w:ascii="等线" w:hAnsi="等线" w:eastAsia="等线" w:cs="等线"/>
      <w:color w:val="FF0000"/>
      <w:sz w:val="20"/>
      <w:szCs w:val="20"/>
      <w:u w:val="none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2020-09-16T15:05:00Z</dcterms:created>
  <dc:creator>袁文波</dc:creator>
  <cp:lastModifiedBy>袁文波</cp:lastModifiedBy>
  <dcterms:modified xsi:type="dcterms:W3CDTF">2020-09-17T01:54:59Z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