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20" w:lineRule="atLeast"/>
        <w:jc w:val="center"/>
        <w:rPr>
          <w:rStyle w:val="7"/>
          <w:rFonts w:ascii="仿宋" w:hAnsi="仿宋" w:eastAsia="仿宋"/>
          <w:sz w:val="36"/>
          <w:szCs w:val="36"/>
          <w:shd w:val="clear" w:color="auto" w:fill="FFFFFF"/>
        </w:rPr>
      </w:pPr>
      <w:r>
        <w:rPr>
          <w:rStyle w:val="7"/>
          <w:rFonts w:hint="eastAsia" w:ascii="仿宋" w:hAnsi="仿宋" w:eastAsia="仿宋"/>
          <w:sz w:val="36"/>
          <w:szCs w:val="36"/>
          <w:shd w:val="clear" w:color="auto" w:fill="FFFFFF"/>
        </w:rPr>
        <w:t>食品学院“丁颖创新班”管理实施细则（试行）</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为全面贯彻党和国家的教育方针，适应高等教育发展的需要，培养适应社会需要的全面发展的拔尖创新人才，充分发挥广大教师的教书育人作用，把思想教育与专业教育结合，共性教育与个性教育结合，以素质教育为基础，以创新教育为核心，加强学生创新精神、合作精神、团队意识和创新能力的培养，形成全员育人的良好氛围，学院依据《华南农业大学丁颖创新班管理办法》（华南农办〔2021〕15号）等文件精神，结合食品学院人才培养实际情况，制定食品学院丁颖创新班（以下简称“丁颖班”）管理实施细则。</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一、学生选拔</w:t>
      </w:r>
    </w:p>
    <w:p>
      <w:pPr>
        <w:pStyle w:val="10"/>
        <w:shd w:val="clear" w:color="auto" w:fill="FFFFFF"/>
        <w:spacing w:before="0" w:beforeAutospacing="0" w:after="0" w:afterAutospacing="0" w:line="405" w:lineRule="atLeast"/>
        <w:ind w:firstLine="540" w:firstLineChars="200"/>
        <w:rPr>
          <w:rFonts w:ascii="微软雅黑" w:hAnsi="微软雅黑" w:eastAsia="微软雅黑"/>
          <w:sz w:val="27"/>
          <w:szCs w:val="27"/>
        </w:rPr>
      </w:pPr>
      <w:r>
        <w:rPr>
          <w:rFonts w:hint="eastAsia" w:ascii="仿宋" w:hAnsi="仿宋" w:eastAsia="仿宋"/>
          <w:sz w:val="27"/>
          <w:szCs w:val="27"/>
        </w:rPr>
        <w:t>（一）从高考招生录取中直接选拨30名学生。</w:t>
      </w:r>
    </w:p>
    <w:p>
      <w:pPr>
        <w:pStyle w:val="10"/>
        <w:shd w:val="clear" w:color="auto" w:fill="FFFFFF"/>
        <w:spacing w:before="0" w:beforeAutospacing="0" w:after="0" w:afterAutospacing="0" w:line="405" w:lineRule="atLeast"/>
        <w:ind w:firstLine="540" w:firstLineChars="200"/>
        <w:rPr>
          <w:rFonts w:ascii="微软雅黑" w:hAnsi="微软雅黑" w:eastAsia="微软雅黑"/>
          <w:sz w:val="27"/>
          <w:szCs w:val="27"/>
        </w:rPr>
      </w:pPr>
      <w:r>
        <w:rPr>
          <w:rFonts w:hint="eastAsia" w:ascii="仿宋" w:hAnsi="仿宋" w:eastAsia="仿宋"/>
          <w:sz w:val="27"/>
          <w:szCs w:val="27"/>
        </w:rPr>
        <w:t>（二）在滚动培养管理中出现空缺名额时，在第二和第四学期从同年级学生中择优选拔，补齐30人。其他时间不选拔补充，只出不进。具体选拨方式如下：</w:t>
      </w:r>
    </w:p>
    <w:p>
      <w:pPr>
        <w:pStyle w:val="10"/>
        <w:shd w:val="clear" w:color="auto" w:fill="FFFFFF"/>
        <w:spacing w:before="0" w:beforeAutospacing="0" w:after="0" w:afterAutospacing="0" w:line="442" w:lineRule="atLeast"/>
        <w:ind w:firstLine="561"/>
        <w:rPr>
          <w:rFonts w:ascii="微软雅黑" w:hAnsi="微软雅黑" w:eastAsia="微软雅黑"/>
          <w:sz w:val="27"/>
          <w:szCs w:val="27"/>
        </w:rPr>
      </w:pPr>
      <w:r>
        <w:rPr>
          <w:rFonts w:hint="eastAsia" w:ascii="仿宋" w:hAnsi="仿宋" w:eastAsia="仿宋"/>
          <w:sz w:val="27"/>
          <w:szCs w:val="27"/>
        </w:rPr>
        <w:t>1.遴选方式</w:t>
      </w:r>
    </w:p>
    <w:p>
      <w:pPr>
        <w:pStyle w:val="10"/>
        <w:shd w:val="clear" w:color="auto" w:fill="FFFFFF"/>
        <w:spacing w:before="0" w:beforeAutospacing="0" w:after="0" w:afterAutospacing="0" w:line="442" w:lineRule="atLeast"/>
        <w:ind w:firstLine="561"/>
        <w:rPr>
          <w:rFonts w:ascii="微软雅黑" w:hAnsi="微软雅黑" w:eastAsia="微软雅黑"/>
          <w:sz w:val="27"/>
          <w:szCs w:val="27"/>
        </w:rPr>
      </w:pPr>
      <w:r>
        <w:rPr>
          <w:rFonts w:hint="eastAsia" w:ascii="仿宋" w:hAnsi="仿宋" w:eastAsia="仿宋"/>
          <w:sz w:val="27"/>
          <w:szCs w:val="27"/>
        </w:rPr>
        <w:t>由学生个人自愿报名申请，学院根据学生在选拨学期之前所有学期的课程成绩平均绩点排名与面试（口试）情况进行选拔。</w:t>
      </w:r>
    </w:p>
    <w:p>
      <w:pPr>
        <w:pStyle w:val="10"/>
        <w:shd w:val="clear" w:color="auto" w:fill="FFFFFF"/>
        <w:spacing w:before="0" w:beforeAutospacing="0" w:after="0" w:afterAutospacing="0" w:line="442" w:lineRule="atLeast"/>
        <w:ind w:firstLine="561"/>
        <w:rPr>
          <w:rFonts w:ascii="微软雅黑" w:hAnsi="微软雅黑" w:eastAsia="微软雅黑"/>
          <w:sz w:val="27"/>
          <w:szCs w:val="27"/>
        </w:rPr>
      </w:pPr>
      <w:r>
        <w:rPr>
          <w:rFonts w:hint="eastAsia" w:ascii="仿宋" w:hAnsi="仿宋" w:eastAsia="仿宋"/>
          <w:sz w:val="27"/>
          <w:szCs w:val="27"/>
        </w:rPr>
        <w:t>2.遴选程序</w:t>
      </w:r>
    </w:p>
    <w:p>
      <w:pPr>
        <w:pStyle w:val="10"/>
        <w:shd w:val="clear" w:color="auto" w:fill="FFFFFF"/>
        <w:spacing w:before="0" w:beforeAutospacing="0" w:after="0" w:afterAutospacing="0" w:line="442" w:lineRule="atLeast"/>
        <w:ind w:firstLine="561"/>
        <w:rPr>
          <w:rFonts w:ascii="微软雅黑" w:hAnsi="微软雅黑" w:eastAsia="微软雅黑"/>
          <w:sz w:val="27"/>
          <w:szCs w:val="27"/>
        </w:rPr>
      </w:pPr>
      <w:r>
        <w:rPr>
          <w:rFonts w:hint="eastAsia" w:ascii="仿宋" w:hAnsi="仿宋" w:eastAsia="仿宋"/>
          <w:sz w:val="27"/>
          <w:szCs w:val="27"/>
        </w:rPr>
        <w:t>（1）填写报名表。学生按要求填写报名表并按时提交。</w:t>
      </w:r>
    </w:p>
    <w:p>
      <w:pPr>
        <w:pStyle w:val="10"/>
        <w:shd w:val="clear" w:color="auto" w:fill="FFFFFF"/>
        <w:spacing w:before="0" w:beforeAutospacing="0" w:after="0" w:afterAutospacing="0" w:line="442" w:lineRule="atLeast"/>
        <w:ind w:firstLine="561"/>
        <w:rPr>
          <w:rFonts w:ascii="微软雅黑" w:hAnsi="微软雅黑" w:eastAsia="微软雅黑"/>
          <w:sz w:val="27"/>
          <w:szCs w:val="27"/>
        </w:rPr>
      </w:pPr>
      <w:r>
        <w:rPr>
          <w:rFonts w:hint="eastAsia" w:ascii="仿宋" w:hAnsi="仿宋" w:eastAsia="仿宋"/>
          <w:sz w:val="27"/>
          <w:szCs w:val="27"/>
        </w:rPr>
        <w:t>（2）资格筛选。按空缺名额的1:3确定候选生人数，按课程绩点高低，进入面试环节。</w:t>
      </w:r>
    </w:p>
    <w:p>
      <w:pPr>
        <w:pStyle w:val="10"/>
        <w:shd w:val="clear" w:color="auto" w:fill="FFFFFF"/>
        <w:spacing w:before="0" w:beforeAutospacing="0" w:after="0" w:afterAutospacing="0" w:line="442" w:lineRule="atLeast"/>
        <w:ind w:firstLine="550"/>
        <w:rPr>
          <w:rFonts w:ascii="微软雅黑" w:hAnsi="微软雅黑" w:eastAsia="微软雅黑"/>
          <w:sz w:val="27"/>
          <w:szCs w:val="27"/>
        </w:rPr>
      </w:pPr>
      <w:r>
        <w:rPr>
          <w:rFonts w:hint="eastAsia" w:ascii="仿宋" w:hAnsi="仿宋" w:eastAsia="仿宋"/>
          <w:sz w:val="27"/>
          <w:szCs w:val="27"/>
        </w:rPr>
        <w:t>（3）面试。学院丁颖班专家工作组对进入面试的学生分别进行综合素质考核，主要考察学生知识结构、表达能力、逻辑思维、个性品质及兴趣爱好和特长等。</w:t>
      </w:r>
    </w:p>
    <w:p>
      <w:pPr>
        <w:pStyle w:val="10"/>
        <w:shd w:val="clear" w:color="auto" w:fill="FFFFFF"/>
        <w:spacing w:before="0" w:beforeAutospacing="0" w:after="0" w:afterAutospacing="0" w:line="442" w:lineRule="atLeast"/>
        <w:ind w:firstLine="550"/>
        <w:rPr>
          <w:rFonts w:ascii="微软雅黑" w:hAnsi="微软雅黑" w:eastAsia="微软雅黑"/>
          <w:sz w:val="27"/>
          <w:szCs w:val="27"/>
        </w:rPr>
      </w:pPr>
      <w:r>
        <w:rPr>
          <w:rFonts w:hint="eastAsia" w:ascii="仿宋" w:hAnsi="仿宋" w:eastAsia="仿宋"/>
          <w:sz w:val="27"/>
          <w:szCs w:val="27"/>
        </w:rPr>
        <w:t>（4）确定入选名单。按面试成绩高低，确定最终入选名单并进行公示，公示无异议后，由学院报学校丁颖班管理领导小组审核，再报本科生院及党委学生工作部备案。</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二、学生考核与退出机制</w:t>
      </w:r>
    </w:p>
    <w:p>
      <w:pPr>
        <w:pStyle w:val="10"/>
        <w:shd w:val="clear" w:color="auto" w:fill="FFFFFF"/>
        <w:spacing w:before="0" w:beforeAutospacing="0" w:after="0" w:afterAutospacing="0" w:line="405" w:lineRule="atLeast"/>
        <w:ind w:firstLine="556"/>
        <w:rPr>
          <w:rFonts w:ascii="微软雅黑" w:hAnsi="微软雅黑" w:eastAsia="微软雅黑"/>
          <w:sz w:val="27"/>
          <w:szCs w:val="27"/>
        </w:rPr>
      </w:pPr>
      <w:r>
        <w:rPr>
          <w:rFonts w:hint="eastAsia" w:ascii="仿宋" w:hAnsi="仿宋" w:eastAsia="仿宋"/>
          <w:sz w:val="27"/>
          <w:szCs w:val="27"/>
        </w:rPr>
        <w:t>丁颖班的学生管理实行滚动管理末尾淘汰、择优补充机制。每学年第二学期初，丁颖班辅导员负责对丁颖班学生进行考核分流。丁颖班学生凡有以下情况之一者，须分流淘汰出丁颖班。</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1.累计两门课程考核不及格者；</w:t>
      </w:r>
    </w:p>
    <w:p>
      <w:pPr>
        <w:pStyle w:val="10"/>
        <w:shd w:val="clear" w:color="auto" w:fill="FFFFFF"/>
        <w:spacing w:before="0" w:beforeAutospacing="0" w:after="0" w:afterAutospacing="0" w:line="405" w:lineRule="atLeast"/>
        <w:ind w:firstLine="561"/>
        <w:rPr>
          <w:rFonts w:ascii="仿宋" w:hAnsi="仿宋" w:eastAsia="仿宋"/>
          <w:sz w:val="27"/>
          <w:szCs w:val="27"/>
        </w:rPr>
      </w:pPr>
      <w:r>
        <w:rPr>
          <w:rFonts w:hint="eastAsia" w:ascii="仿宋" w:hAnsi="仿宋" w:eastAsia="仿宋"/>
          <w:sz w:val="27"/>
          <w:szCs w:val="27"/>
        </w:rPr>
        <w:t>2.连续两个学期成绩排在本班末位且平均绩点在3.2以下者；</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3.对丁颖班教学方式方法不适应，本人自愿申请退出者；</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4.对有违纪行为，受学校处分者（因受处分调整出丁颖班的学生，处分撤销后不再调入）；</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5.指导教师（导师）或班主任认为不适宜继续留在丁颖班，并出具书面意见并经学校丁颖班管理领导小组审核同意者。</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三、导师配备与选聘</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1.具有副教授（或相当职称）及以上专业技术职务者，或具有博士学位讲师职称的在编专职教师；</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2.思想素质高，爱岗敬业，为人师表，热爱学生，有较高的指导学生的能力，能认真履行丁颖班导师的职责；</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3.有主持的在研课题，具较高的学术水平；</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4.近两年教学质量学生评价成绩优良，未出现过教学、科研方面的重大责任事故；</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5.在指导期间，因出国或挂职等原因，其中一个学期中累计超过半学期不在学校的，或即将退休未能完成一届学生指导任务的教师，不宜担任导师。</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四、导师职责</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1.根据丁颖班的培养目标，因材施教，从思想、学习和生活上关心学生，重视学生创新思维的培养，认真指导学生的学习、实验、科研和各项实践活动，培养学生刻苦钻研、自主学习和开拓创新的精神；</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2.导师要对学生的学业和科研训练进行全程指导，要以项目带动学生开展科研训练活动，并指导学生参加教师的科研项目或院级及以上科技创新等项目；导师需保证每届学生毕业时，生均在北大中文核心期刊（第一作者）、ESI和SCI刊物（前3名）发表学术论文和获发明专利（前2名）0.7篇（件）以上。</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3.导师要制定学生指导计划，按规定和要求完成指导任务。以一个学期为一个阶段，按各阶段的指导任务要求制订学生的指导计划，并按计划进行指导，指导计划在每学期开学初提交丁颖班辅导员备案；</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4.及时评价学生。每阶段指导活动结束前，由导师写出较为详细的“导师评语”，对本阶段指导的结果及学生创新能力培养过程和培养成效进行评述。指导计划完成情况于每阶段指导活动结束后提交丁颖班辅导员。</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五、导师制的管理</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1.双向选择制：导师和学生实行双向选择制，每位学生选择一位导师，原则上每位导师每届选择学生不超过5名，所带学生总数不超过10名。</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2.导师任期：任期三年，承担学生从大二至大四期间学生的学业、科研训练指导工作。</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3.下列情况之一中断导师培养计划：</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（1）所带学生均离开丁颖班转入一般本科生培养的；</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（2）所带学生均因故中断执行培养计划的；</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（3）导师因故不能继续承担指导任务的。导师应在学期末向学院提出申请，经学院丁颖班专家工作组批准后解除导师关系。</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4.对学生的要求：</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（1）服从导师的培养安排，遵守实验室的各项规章制度；</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（2）遵守阶段培养任务要求，根据导师安排，按时按量完成阶段培养计划的任务要求；</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（3）认真记录各阶段的培训内容和培训收获。</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5.督促检查：</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1）学院丁颖班专家工作组对培养记录进行检查，了解导师和学生的培养实施状况。原则上在每学期期末开展一次检查。对不能正常实施指导培养计划的导师，取消导师资格，由学院将所指导的学生转给其他导师指导。</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（2）学院丁颖班专家工作组提出的其它督促检查措施。</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6.导师的待遇</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（1）丁颖班导师按指导一年级硕士研究生计算教学工作量，指导学生毕业论文（导师原则上作为毕业论文指导教师）、各类项目的工作量，按学校规定另行计算。</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2）对指导学生以“华南农业大学食品学院”第一单位名义、第一作者发表论文或以“华南农业大学”申请专利（本科生排名第一或第二）的导师提供培养费：SCI收录论文：IF*1500元/篇；EI收录论文：1500元/篇；核心期刊一级：1000元/篇；二级：700元/篇。国家发明专利：已授权1000元/项，已公开300元/项；实用新型专利：已授权800元/项，已公开300元/项。对指导学生发表ESI和SCI收录论文（前3名）的导师提供培养费：IF*800元/篇。</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（3）指导学生发表论文的导师按指导硕士生发表论文计算导师绩效，纳入硕士招生指标分配系数。</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（4）对于工作成效好、有特色的导师，学院在各类推荐、评奖评优、职称晋升和岗位聘任中将同等条件下优先考虑。</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六、其他</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1.本实施细则未列出的有关内容，可参见《华南农业大学丁颖创新班管理办法》（华南农办〔2021〕15号）。</w:t>
      </w:r>
    </w:p>
    <w:p>
      <w:pPr>
        <w:pStyle w:val="10"/>
        <w:shd w:val="clear" w:color="auto" w:fill="FFFFFF"/>
        <w:spacing w:before="0" w:beforeAutospacing="0" w:after="0" w:afterAutospacing="0" w:line="405" w:lineRule="atLeast"/>
        <w:ind w:firstLine="561"/>
        <w:rPr>
          <w:rFonts w:ascii="微软雅黑" w:hAnsi="微软雅黑" w:eastAsia="微软雅黑"/>
          <w:sz w:val="27"/>
          <w:szCs w:val="27"/>
        </w:rPr>
      </w:pPr>
      <w:r>
        <w:rPr>
          <w:rFonts w:hint="eastAsia" w:ascii="仿宋" w:hAnsi="仿宋" w:eastAsia="仿宋"/>
          <w:sz w:val="27"/>
          <w:szCs w:val="27"/>
        </w:rPr>
        <w:t>2.本实施细则未作明确规定的，由学院负责解释。本实施细则自公布之日起试行。</w:t>
      </w:r>
    </w:p>
    <w:p>
      <w:pPr>
        <w:pStyle w:val="10"/>
        <w:shd w:val="clear" w:color="auto" w:fill="FFFFFF"/>
        <w:spacing w:before="0" w:beforeAutospacing="0" w:after="0" w:afterAutospacing="0" w:line="405" w:lineRule="atLeast"/>
        <w:ind w:firstLine="6441"/>
        <w:rPr>
          <w:rFonts w:ascii="微软雅黑" w:hAnsi="微软雅黑" w:eastAsia="微软雅黑"/>
          <w:sz w:val="27"/>
          <w:szCs w:val="27"/>
        </w:rPr>
      </w:pPr>
    </w:p>
    <w:p>
      <w:pPr>
        <w:pStyle w:val="10"/>
        <w:shd w:val="clear" w:color="auto" w:fill="FFFFFF"/>
        <w:spacing w:before="0" w:beforeAutospacing="0" w:after="0" w:afterAutospacing="0" w:line="480" w:lineRule="auto"/>
        <w:rPr>
          <w:rFonts w:ascii="微软雅黑" w:hAnsi="微软雅黑" w:eastAsia="微软雅黑"/>
          <w:sz w:val="27"/>
          <w:szCs w:val="27"/>
        </w:rPr>
      </w:pPr>
    </w:p>
    <w:p>
      <w:pPr>
        <w:pStyle w:val="10"/>
        <w:shd w:val="clear" w:color="auto" w:fill="FFFFFF"/>
        <w:spacing w:before="0" w:beforeAutospacing="0" w:after="0" w:afterAutospacing="0" w:line="480" w:lineRule="auto"/>
        <w:rPr>
          <w:rFonts w:ascii="微软雅黑" w:hAnsi="微软雅黑" w:eastAsia="微软雅黑"/>
          <w:sz w:val="27"/>
          <w:szCs w:val="27"/>
        </w:rPr>
      </w:pPr>
    </w:p>
    <w:p>
      <w:pPr>
        <w:pStyle w:val="10"/>
        <w:shd w:val="clear" w:color="auto" w:fill="FFFFFF"/>
        <w:spacing w:before="0" w:beforeAutospacing="0" w:after="0" w:afterAutospacing="0" w:line="480" w:lineRule="auto"/>
        <w:rPr>
          <w:rFonts w:ascii="微软雅黑" w:hAnsi="微软雅黑" w:eastAsia="微软雅黑"/>
          <w:sz w:val="27"/>
          <w:szCs w:val="27"/>
        </w:rPr>
      </w:pPr>
    </w:p>
    <w:p>
      <w:pPr>
        <w:pStyle w:val="10"/>
        <w:shd w:val="clear" w:color="auto" w:fill="FFFFFF"/>
        <w:spacing w:before="0" w:beforeAutospacing="0" w:after="0" w:afterAutospacing="0" w:line="480" w:lineRule="auto"/>
        <w:rPr>
          <w:rFonts w:ascii="微软雅黑" w:hAnsi="微软雅黑" w:eastAsia="微软雅黑"/>
          <w:sz w:val="27"/>
          <w:szCs w:val="27"/>
        </w:rPr>
      </w:pPr>
    </w:p>
    <w:p>
      <w:pPr>
        <w:pStyle w:val="10"/>
        <w:shd w:val="clear" w:color="auto" w:fill="FFFFFF"/>
        <w:spacing w:before="0" w:beforeAutospacing="0" w:after="0" w:afterAutospacing="0" w:line="480" w:lineRule="auto"/>
        <w:rPr>
          <w:rFonts w:ascii="微软雅黑" w:hAnsi="微软雅黑" w:eastAsia="微软雅黑"/>
          <w:sz w:val="27"/>
          <w:szCs w:val="27"/>
        </w:rPr>
      </w:pPr>
      <w:r>
        <w:rPr>
          <w:rFonts w:hint="eastAsia" w:ascii="仿宋" w:hAnsi="仿宋" w:eastAsia="仿宋"/>
          <w:sz w:val="27"/>
          <w:szCs w:val="27"/>
        </w:rPr>
        <w:t>中共华南农业大学食品学院委员会           华南农业大学食品学院</w:t>
      </w:r>
    </w:p>
    <w:p>
      <w:pPr>
        <w:pStyle w:val="10"/>
        <w:shd w:val="clear" w:color="auto" w:fill="FFFFFF"/>
        <w:spacing w:before="0" w:beforeAutospacing="0" w:after="0" w:afterAutospacing="0" w:line="480" w:lineRule="auto"/>
        <w:jc w:val="right"/>
        <w:rPr>
          <w:rFonts w:ascii="微软雅黑" w:hAnsi="微软雅黑" w:eastAsia="微软雅黑"/>
          <w:sz w:val="27"/>
          <w:szCs w:val="27"/>
        </w:rPr>
      </w:pPr>
      <w:r>
        <w:rPr>
          <w:rFonts w:hint="eastAsia" w:ascii="仿宋" w:hAnsi="仿宋" w:eastAsia="仿宋" w:cs="仿宋"/>
          <w:sz w:val="27"/>
          <w:szCs w:val="27"/>
          <w:lang w:val="en-US" w:eastAsia="zh-CN"/>
        </w:rPr>
        <w:t>2024</w:t>
      </w:r>
      <w:r>
        <w:rPr>
          <w:rFonts w:hint="eastAsia" w:ascii="仿宋" w:hAnsi="仿宋" w:eastAsia="仿宋"/>
          <w:sz w:val="27"/>
          <w:szCs w:val="27"/>
        </w:rPr>
        <w:t>年</w:t>
      </w:r>
      <w:r>
        <w:rPr>
          <w:rFonts w:hint="eastAsia" w:ascii="仿宋" w:hAnsi="仿宋" w:eastAsia="仿宋"/>
          <w:sz w:val="27"/>
          <w:szCs w:val="27"/>
          <w:lang w:val="en-US" w:eastAsia="zh-CN"/>
        </w:rPr>
        <w:t>3</w:t>
      </w:r>
      <w:r>
        <w:rPr>
          <w:rFonts w:hint="eastAsia" w:ascii="仿宋" w:hAnsi="仿宋" w:eastAsia="仿宋"/>
          <w:sz w:val="27"/>
          <w:szCs w:val="27"/>
        </w:rPr>
        <w:t xml:space="preserve"> 月</w:t>
      </w:r>
      <w:r>
        <w:rPr>
          <w:rFonts w:hint="eastAsia" w:ascii="仿宋" w:hAnsi="仿宋" w:eastAsia="仿宋"/>
          <w:sz w:val="27"/>
          <w:szCs w:val="27"/>
          <w:lang w:val="en-US" w:eastAsia="zh-CN"/>
        </w:rPr>
        <w:t>8</w:t>
      </w:r>
      <w:r>
        <w:rPr>
          <w:rFonts w:hint="eastAsia" w:ascii="仿宋" w:hAnsi="仿宋" w:eastAsia="仿宋"/>
          <w:sz w:val="27"/>
          <w:szCs w:val="27"/>
        </w:rPr>
        <w:t xml:space="preserve"> 日</w:t>
      </w:r>
      <w:bookmarkStart w:id="0" w:name="_GoBack"/>
      <w:bookmarkEnd w:id="0"/>
    </w:p>
    <w:p>
      <w:pPr>
        <w:spacing w:line="220" w:lineRule="atLeast"/>
      </w:pPr>
    </w:p>
    <w:sectPr>
      <w:pgSz w:w="11906" w:h="16838"/>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2"/>
  </w:compat>
  <w:docVars>
    <w:docVar w:name="commondata" w:val="eyJoZGlkIjoiYzQ2M2I1ODljODc1ZDUxY2I1NTlmY2Y0NDY4M2U0ODgifQ=="/>
  </w:docVars>
  <w:rsids>
    <w:rsidRoot w:val="00D31D50"/>
    <w:rsid w:val="000C2885"/>
    <w:rsid w:val="001336E5"/>
    <w:rsid w:val="00323B43"/>
    <w:rsid w:val="003D37D8"/>
    <w:rsid w:val="00426133"/>
    <w:rsid w:val="004358AB"/>
    <w:rsid w:val="004D157F"/>
    <w:rsid w:val="005F06CA"/>
    <w:rsid w:val="00605A17"/>
    <w:rsid w:val="006C1C1E"/>
    <w:rsid w:val="007A7E72"/>
    <w:rsid w:val="00841BCF"/>
    <w:rsid w:val="00862E44"/>
    <w:rsid w:val="008B7726"/>
    <w:rsid w:val="00903BF8"/>
    <w:rsid w:val="009A6724"/>
    <w:rsid w:val="00A25F1D"/>
    <w:rsid w:val="00BA3159"/>
    <w:rsid w:val="00BA4D99"/>
    <w:rsid w:val="00BB1B3F"/>
    <w:rsid w:val="00BE273D"/>
    <w:rsid w:val="00D31D50"/>
    <w:rsid w:val="00D37727"/>
    <w:rsid w:val="00D6198E"/>
    <w:rsid w:val="00DC48C6"/>
    <w:rsid w:val="00E8691D"/>
    <w:rsid w:val="00EC5B1C"/>
    <w:rsid w:val="00EF5260"/>
    <w:rsid w:val="00F678E4"/>
    <w:rsid w:val="35BD6CA8"/>
    <w:rsid w:val="3AA81A27"/>
    <w:rsid w:val="5FB23198"/>
    <w:rsid w:val="78372035"/>
    <w:rsid w:val="7C4E5B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unhideWhenUsed/>
    <w:uiPriority w:val="99"/>
    <w:pPr>
      <w:spacing w:after="0"/>
    </w:pPr>
    <w:rPr>
      <w:sz w:val="18"/>
      <w:szCs w:val="18"/>
    </w:rPr>
  </w:style>
  <w:style w:type="paragraph" w:styleId="3">
    <w:name w:val="footer"/>
    <w:basedOn w:val="1"/>
    <w:link w:val="9"/>
    <w:semiHidden/>
    <w:unhideWhenUsed/>
    <w:uiPriority w:val="99"/>
    <w:pPr>
      <w:tabs>
        <w:tab w:val="center" w:pos="4153"/>
        <w:tab w:val="right" w:pos="8306"/>
      </w:tabs>
    </w:pPr>
    <w:rPr>
      <w:sz w:val="18"/>
      <w:szCs w:val="18"/>
    </w:rPr>
  </w:style>
  <w:style w:type="paragraph" w:styleId="4">
    <w:name w:val="header"/>
    <w:basedOn w:val="1"/>
    <w:link w:val="8"/>
    <w:semiHidden/>
    <w:unhideWhenUsed/>
    <w:uiPriority w:val="99"/>
    <w:pPr>
      <w:pBdr>
        <w:bottom w:val="single" w:color="auto" w:sz="6" w:space="1"/>
      </w:pBdr>
      <w:tabs>
        <w:tab w:val="center" w:pos="4153"/>
        <w:tab w:val="right" w:pos="8306"/>
      </w:tabs>
      <w:jc w:val="center"/>
    </w:pPr>
    <w:rPr>
      <w:sz w:val="18"/>
      <w:szCs w:val="18"/>
    </w:rPr>
  </w:style>
  <w:style w:type="character" w:styleId="7">
    <w:name w:val="Strong"/>
    <w:basedOn w:val="6"/>
    <w:qFormat/>
    <w:uiPriority w:val="22"/>
    <w:rPr>
      <w:b/>
      <w:bCs/>
    </w:rPr>
  </w:style>
  <w:style w:type="character" w:customStyle="1" w:styleId="8">
    <w:name w:val="页眉 Char"/>
    <w:basedOn w:val="6"/>
    <w:link w:val="4"/>
    <w:semiHidden/>
    <w:uiPriority w:val="99"/>
    <w:rPr>
      <w:rFonts w:ascii="Tahoma" w:hAnsi="Tahoma"/>
      <w:sz w:val="18"/>
      <w:szCs w:val="18"/>
    </w:rPr>
  </w:style>
  <w:style w:type="character" w:customStyle="1" w:styleId="9">
    <w:name w:val="页脚 Char"/>
    <w:basedOn w:val="6"/>
    <w:link w:val="3"/>
    <w:semiHidden/>
    <w:uiPriority w:val="99"/>
    <w:rPr>
      <w:rFonts w:ascii="Tahoma" w:hAnsi="Tahoma"/>
      <w:sz w:val="18"/>
      <w:szCs w:val="18"/>
    </w:rPr>
  </w:style>
  <w:style w:type="paragraph" w:customStyle="1" w:styleId="10">
    <w:name w:val="cjk"/>
    <w:basedOn w:val="1"/>
    <w:uiPriority w:val="0"/>
    <w:pPr>
      <w:adjustRightInd/>
      <w:snapToGrid/>
      <w:spacing w:before="100" w:beforeAutospacing="1" w:after="100" w:afterAutospacing="1"/>
    </w:pPr>
    <w:rPr>
      <w:rFonts w:ascii="宋体" w:hAnsi="宋体" w:eastAsia="宋体" w:cs="宋体"/>
      <w:sz w:val="24"/>
      <w:szCs w:val="24"/>
    </w:rPr>
  </w:style>
  <w:style w:type="character" w:customStyle="1" w:styleId="11">
    <w:name w:val="批注框文本 Char"/>
    <w:basedOn w:val="6"/>
    <w:link w:val="2"/>
    <w:semiHidden/>
    <w:uiPriority w:val="99"/>
    <w:rPr>
      <w:rFonts w:ascii="Tahoma" w:hAnsi="Tahoma"/>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402</Words>
  <Characters>2294</Characters>
  <Lines>19</Lines>
  <Paragraphs>5</Paragraphs>
  <TotalTime>231</TotalTime>
  <ScaleCrop>false</ScaleCrop>
  <LinksUpToDate>false</LinksUpToDate>
  <CharactersWithSpaces>2691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lqx</dc:creator>
  <cp:lastModifiedBy>罗卿心</cp:lastModifiedBy>
  <cp:lastPrinted>2022-03-22T03:36:00Z</cp:lastPrinted>
  <dcterms:modified xsi:type="dcterms:W3CDTF">2024-03-11T07:46:48Z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298A1E0EE8834167ACA559B526127DB6_12</vt:lpwstr>
  </property>
</Properties>
</file>